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81" w:rsidRDefault="001E7781" w:rsidP="001E7781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val="uk-UA" w:eastAsia="ru-RU"/>
        </w:rPr>
        <w:t>Затверджено</w:t>
      </w:r>
    </w:p>
    <w:p w:rsidR="001E7781" w:rsidRDefault="001E7781" w:rsidP="001E7781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val="uk-UA" w:eastAsia="ru-RU"/>
        </w:rPr>
        <w:t xml:space="preserve">Протокол ради НВК </w:t>
      </w:r>
    </w:p>
    <w:p w:rsidR="001E7781" w:rsidRPr="001E7781" w:rsidRDefault="001E7781" w:rsidP="001E7781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val="uk-UA" w:eastAsia="ru-RU"/>
        </w:rPr>
        <w:t>від 31.01.2019 № 1</w:t>
      </w:r>
    </w:p>
    <w:p w:rsidR="001E7781" w:rsidRDefault="001E7781" w:rsidP="009406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</w:p>
    <w:p w:rsidR="001E7781" w:rsidRDefault="001E7781" w:rsidP="009406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</w:p>
    <w:p w:rsidR="001E7781" w:rsidRDefault="001E7781" w:rsidP="009406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</w:p>
    <w:p w:rsidR="00940691" w:rsidRPr="00940691" w:rsidRDefault="00940691" w:rsidP="001E32D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bookmarkStart w:id="0" w:name="_GoBack"/>
      <w:r w:rsidRPr="0094069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Правила </w:t>
      </w:r>
      <w:proofErr w:type="spellStart"/>
      <w:r w:rsidRPr="0094069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поведінки</w:t>
      </w:r>
      <w:proofErr w:type="spellEnd"/>
      <w:r w:rsidR="001E778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 </w:t>
      </w:r>
      <w:proofErr w:type="spellStart"/>
      <w:r w:rsidR="001E778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здобувачів</w:t>
      </w:r>
      <w:proofErr w:type="spellEnd"/>
      <w:r w:rsidR="001E778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 </w:t>
      </w:r>
      <w:proofErr w:type="spellStart"/>
      <w:r w:rsidR="001E778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освіти</w:t>
      </w:r>
      <w:proofErr w:type="spellEnd"/>
      <w:r w:rsidR="001E778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 Новобурлуцького НВК «ДНЗ – ЗОШ І-ІІ</w:t>
      </w:r>
      <w:r w:rsidRPr="0094069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ступенів</w:t>
      </w:r>
      <w:bookmarkEnd w:id="0"/>
      <w:proofErr w:type="spellEnd"/>
      <w:r w:rsidRPr="0094069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»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І. </w:t>
      </w:r>
      <w:proofErr w:type="spellStart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Правила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поведінки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здобувачів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Новобурлуцького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НВК «ДНЗ – ЗОШ І-ІІ</w:t>
      </w: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ступенів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розроблені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підставі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середню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дошкільну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освіту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Статуту </w:t>
      </w:r>
      <w:proofErr w:type="spellStart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Новобурлуцького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НВК «ДНЗ – ЗОШ І-ІІ</w:t>
      </w: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ступенів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Дотримання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поведінки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здобувачів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Новобурлуцького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НВК «ДНЗ – ЗОШ І-ІІ</w:t>
      </w: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ступенів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є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обов’язковим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усіма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кате</w:t>
      </w:r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горіями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вихованці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ДНЗ, </w:t>
      </w:r>
      <w:proofErr w:type="spellStart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учні</w:t>
      </w:r>
      <w:proofErr w:type="spellEnd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ЗОШ</w:t>
      </w:r>
      <w:r w:rsidR="001E7781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І-ІІ ст.</w:t>
      </w: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з момент</w:t>
      </w:r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</w:t>
      </w:r>
      <w:proofErr w:type="spellStart"/>
      <w:r w:rsidR="001E77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зарахування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закладу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ІІ. </w:t>
      </w:r>
      <w:proofErr w:type="spellStart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Обов’язки</w:t>
      </w:r>
      <w:proofErr w:type="spellEnd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здобувачів</w:t>
      </w:r>
      <w:proofErr w:type="spellEnd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освіти</w:t>
      </w:r>
      <w:proofErr w:type="spellEnd"/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Виконувати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вимоги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освітньої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навчального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плану за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наявності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дотримуючись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принципу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академічної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доброчесності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досягти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передбачених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стандартом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відповідного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рівня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Поважати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гідність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права,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свободи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законні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інтереси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всіх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учасників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освітнього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дотримуватись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етичних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норм;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Відповідально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дбайливо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ставитися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власного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здоров’я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здоров’я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оточуючих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довкілля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Дотримуватися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установчих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правил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внутрішнього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розпорядку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умов договору про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надання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освітніх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послуг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наявності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Повідомляти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керівництво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булінгу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цькування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стосовно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здобувачів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педагогічних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наукових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працівників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осіб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залучаються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освітнього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свідком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особисто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дотримали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достовірну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інформацію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осіб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Залучення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здобувачів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освітнього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робіт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заходах, не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пов’язаних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реалізацією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освітньої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забороняється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крім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випадків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передбачених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рішенням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Кабінету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Міністрів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Бережно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ставитись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державного,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особистого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майна;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посильну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різних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видах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трудової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заборонені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чинним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законодавством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Дотримуватися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техніки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безпеки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охорони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здоров’я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особистої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гігієни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Здобувачі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мають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права та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обов’язки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передбачені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законодавством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установчими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документами закладу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ІІІ. </w:t>
      </w:r>
      <w:proofErr w:type="spellStart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здобувачів</w:t>
      </w:r>
      <w:proofErr w:type="spellEnd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порушення</w:t>
      </w:r>
      <w:proofErr w:type="spellEnd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940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поведінки</w:t>
      </w:r>
      <w:proofErr w:type="spellEnd"/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порушення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академічної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доброчесності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здобувачі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можуть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притягнені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повторного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проходження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оцінювання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контрольна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робота,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іспит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залік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тощо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повторне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проходження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відповідного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освітнього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компонента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освітньої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Булінг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цькування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тобто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учасників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освітнього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полягають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психологічному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фізичному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економічному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сексуальному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насильстві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застосуванням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засобів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електронних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комунікацій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вчиняються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стосовно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малолітньої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неповнолітньої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такою особою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стосовно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учасників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освітнього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внаслідок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могла бути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заподіяна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шкода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психічному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фізичному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здоров’ю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потерпілого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-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тягне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накладення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штрафу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п’ятдесяти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ста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мінімумів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доходів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громадян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строк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двадцяти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сорока годин.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передбачене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частиною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першою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цієї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статті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вчинене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групою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осіб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повторно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протягом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після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накладення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адміністративного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стягнення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-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тягне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накладення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штрафу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 до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двохсот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мінімумів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доходів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громадян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строк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сорока до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шістдесяти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годин.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передбачене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частиною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першою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цієї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статті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вчинене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малолітніми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неповнолітніми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віком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чотирнадцяти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шістнадцяти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-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тягне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накладення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штрафу на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батьків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осіб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замінюють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п’ятдесяти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ста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мінімумів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доходів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громадян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строк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двадцяти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сорока годин.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передбачене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частиною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другою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цієї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статті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вчинене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малолітньою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неповнолітньою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віком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чотирнадцяти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шістнадцяти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-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тягне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накладення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штрафу на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батьків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осіб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замінюють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 до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двохсот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мінімумів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доходів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громадян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строк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сорока до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шістдесяти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годин.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нанесення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матеріальних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збитків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зв’язку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пошкодженням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державного,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особистого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несуть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здобувачів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За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вчинення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правопорушень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здобувачі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несуть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згідно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Кодексом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админістрітивні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правопорушення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Кримінальним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кодексом </w:t>
      </w:r>
      <w:proofErr w:type="spellStart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940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40691" w:rsidRPr="00940691" w:rsidRDefault="00940691" w:rsidP="00940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0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77D6" w:rsidRDefault="007777D6"/>
    <w:sectPr w:rsidR="0077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91"/>
    <w:rsid w:val="001E32D4"/>
    <w:rsid w:val="001E7781"/>
    <w:rsid w:val="007777D6"/>
    <w:rsid w:val="009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4B4C-E353-4DEA-B4B3-1F3D5F98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Мерко</dc:creator>
  <cp:keywords/>
  <dc:description/>
  <cp:lastModifiedBy>Мерко</cp:lastModifiedBy>
  <cp:revision>3</cp:revision>
  <dcterms:created xsi:type="dcterms:W3CDTF">2019-01-31T12:14:00Z</dcterms:created>
  <dcterms:modified xsi:type="dcterms:W3CDTF">2019-02-01T09:12:00Z</dcterms:modified>
</cp:coreProperties>
</file>